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86238">
      <w:pPr>
        <w:snapToGrid w:val="0"/>
        <w:spacing w:line="56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《中级财务会计》考试大纲</w:t>
      </w:r>
    </w:p>
    <w:p w14:paraId="6FCDB98E">
      <w:pPr>
        <w:snapToGrid w:val="0"/>
        <w:spacing w:before="312" w:beforeLines="100"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I.考试性质</w:t>
      </w:r>
    </w:p>
    <w:p w14:paraId="071D558D">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《中级财务会计》是20</w:t>
      </w:r>
      <w:r>
        <w:rPr>
          <w:rFonts w:hint="eastAsia" w:ascii="仿宋" w:hAnsi="仿宋" w:eastAsia="仿宋" w:cs="仿宋"/>
          <w:sz w:val="32"/>
          <w:szCs w:val="32"/>
          <w:lang w:val="en-US" w:eastAsia="zh-CN"/>
        </w:rPr>
        <w:t>22</w:t>
      </w:r>
      <w:r>
        <w:rPr>
          <w:rFonts w:hint="eastAsia" w:ascii="仿宋" w:hAnsi="仿宋" w:eastAsia="仿宋" w:cs="仿宋"/>
          <w:sz w:val="32"/>
          <w:szCs w:val="32"/>
        </w:rPr>
        <w:t>年顺德职业技术学院与广东财经大学会计学专业三二分段专升本应用型人才培养试点项目</w:t>
      </w:r>
      <w:r>
        <w:rPr>
          <w:rFonts w:hint="eastAsia" w:ascii="仿宋" w:hAnsi="仿宋" w:eastAsia="仿宋" w:cs="仿宋"/>
          <w:color w:val="000000" w:themeColor="text1"/>
          <w:sz w:val="32"/>
          <w:szCs w:val="32"/>
          <w14:textFill>
            <w14:solidFill>
              <w14:schemeClr w14:val="tx1"/>
            </w14:solidFill>
          </w14:textFill>
        </w:rPr>
        <w:t>转段考核的专业技能考试科目。</w:t>
      </w:r>
      <w:r>
        <w:rPr>
          <w:rFonts w:hint="eastAsia" w:ascii="仿宋" w:hAnsi="仿宋" w:eastAsia="仿宋" w:cs="仿宋"/>
          <w:sz w:val="32"/>
          <w:szCs w:val="32"/>
        </w:rPr>
        <w:t>该考试科目是本学科（专业）的核心课程。作为一项选拔性考试，考试试题在设计上应具有较高的信度和效度，具有必要的区分度和合理的难度系数。</w:t>
      </w:r>
    </w:p>
    <w:p w14:paraId="04C797B8">
      <w:pPr>
        <w:snapToGrid w:val="0"/>
        <w:spacing w:before="312" w:beforeLines="100"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Ⅱ.考试内容和要求</w:t>
      </w:r>
    </w:p>
    <w:p w14:paraId="0DBF3F01">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本考试科目要求学生在学完相关课程后，能够牢固掌握本科目的基本知识，并具有应用所学知识分析和处理实际问题的能力。据此，本科目的考试着重基本知识考查和应用能力考查两个方面，包括识记、理解、应用三个层次。各层次含义如下：</w:t>
      </w:r>
    </w:p>
    <w:p w14:paraId="5A46C15F">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识记：指学习后应当记住的内容，包括概念、原则、方法的含义等。这是最低层次的要求。</w:t>
      </w:r>
    </w:p>
    <w:p w14:paraId="405A45F1">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理解：指在识记的基础上，全面把握基本概念、基本原则、基本方法，并能表达其基本内容和基本原理，能够分析和说明相关问题的区别与联系。这是较高层次的要求。</w:t>
      </w:r>
    </w:p>
    <w:p w14:paraId="18FA60AC">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应用：指能够用学习过的知识分析、计算和处理涉及一两个知识点或多个知识点的会计问题，包括简单应用和综合应用。要求能够运用财政部发布及修订后的《企业会计准则——基本准则》（2014）、各项具体准则、应用指南、解释及相关税收法规，对六大会计要素进行确认、计量、记录和报告。</w:t>
      </w:r>
    </w:p>
    <w:p w14:paraId="259FC747">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《中级财务会计》课程</w:t>
      </w:r>
    </w:p>
    <w:p w14:paraId="733D6EA8">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第一章 总论</w:t>
      </w:r>
    </w:p>
    <w:p w14:paraId="2A7C3158">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财务会计及其特点（识记）</w:t>
      </w:r>
    </w:p>
    <w:p w14:paraId="5169805A">
      <w:pPr>
        <w:snapToGrid w:val="0"/>
        <w:spacing w:line="560" w:lineRule="exact"/>
        <w:ind w:left="1918" w:leftChars="266" w:hanging="1280" w:hangingChars="400"/>
        <w:rPr>
          <w:rFonts w:ascii="仿宋" w:hAnsi="仿宋" w:eastAsia="仿宋" w:cs="仿宋"/>
          <w:sz w:val="32"/>
          <w:szCs w:val="32"/>
        </w:rPr>
      </w:pPr>
      <w:r>
        <w:rPr>
          <w:rFonts w:hint="eastAsia" w:ascii="仿宋" w:hAnsi="仿宋" w:eastAsia="仿宋" w:cs="仿宋"/>
          <w:sz w:val="32"/>
          <w:szCs w:val="32"/>
        </w:rPr>
        <w:t>第二节 会计的基本假设和会计确认、计量的基础（理解）</w:t>
      </w:r>
    </w:p>
    <w:p w14:paraId="7C1FB5BB">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财务会计确认、计量的基本原则（理解）</w:t>
      </w:r>
    </w:p>
    <w:p w14:paraId="5A9C79F3">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第四节 财务报告要素（理解）</w:t>
      </w:r>
    </w:p>
    <w:p w14:paraId="7AC62109">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第二章 货币资金</w:t>
      </w:r>
    </w:p>
    <w:p w14:paraId="20B7686F">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库存现金（理解）</w:t>
      </w:r>
    </w:p>
    <w:p w14:paraId="0032FD6A">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银行存款（理解）</w:t>
      </w:r>
    </w:p>
    <w:p w14:paraId="582D7A75">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其他货币资金（理解）</w:t>
      </w:r>
    </w:p>
    <w:p w14:paraId="5FD77538">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第三章 存货</w:t>
      </w:r>
    </w:p>
    <w:p w14:paraId="154DD9C2">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存货及其分类（识记）</w:t>
      </w:r>
    </w:p>
    <w:p w14:paraId="1B60D08C">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存货的初始计量（应用）</w:t>
      </w:r>
    </w:p>
    <w:p w14:paraId="1F33CE1E">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存货发出的计价（应用）</w:t>
      </w:r>
    </w:p>
    <w:p w14:paraId="54B4C828">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第四节 计划成本法与存货估价法（应用）</w:t>
      </w:r>
    </w:p>
    <w:p w14:paraId="49501381">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第五节 存货的期末计量（应用）</w:t>
      </w:r>
    </w:p>
    <w:p w14:paraId="4EEA66A1">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第六节 存货清查（应用）</w:t>
      </w:r>
    </w:p>
    <w:p w14:paraId="5CBE30B3">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第四章 金融资产</w:t>
      </w:r>
    </w:p>
    <w:p w14:paraId="0788A055">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金融资产及其分类（理解）</w:t>
      </w:r>
    </w:p>
    <w:p w14:paraId="7A61043E">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交易性金融资产（应用）</w:t>
      </w:r>
    </w:p>
    <w:p w14:paraId="0F737C0A">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债权投资（应用）</w:t>
      </w:r>
    </w:p>
    <w:p w14:paraId="700DE007">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第四节 应收款项（应用）</w:t>
      </w:r>
    </w:p>
    <w:p w14:paraId="1FDD5A26">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第五章 长期股权投资</w:t>
      </w:r>
    </w:p>
    <w:p w14:paraId="745FAB43">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长期股权投资概述（理解）</w:t>
      </w:r>
    </w:p>
    <w:p w14:paraId="56B430B8">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长期股权投资的初始计量（应用）</w:t>
      </w:r>
    </w:p>
    <w:p w14:paraId="41660E91">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长期股权投资的后续计量（应用）</w:t>
      </w:r>
    </w:p>
    <w:p w14:paraId="00409289">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第四节 长期股权投资的处置（理解）</w:t>
      </w:r>
    </w:p>
    <w:p w14:paraId="61F42493">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第六章 固定资产</w:t>
      </w:r>
    </w:p>
    <w:p w14:paraId="2F1F227A">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固定资产概述（理解）</w:t>
      </w:r>
    </w:p>
    <w:p w14:paraId="2C8E4062">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固定资产的确认与初始计量（应用）</w:t>
      </w:r>
    </w:p>
    <w:p w14:paraId="2BCE0AB8">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固定资产后续计量（应用）</w:t>
      </w:r>
    </w:p>
    <w:p w14:paraId="708393B6">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第四节 固定资产处置（应用）</w:t>
      </w:r>
    </w:p>
    <w:p w14:paraId="4A13BF7D">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第七章 无形资产</w:t>
      </w:r>
    </w:p>
    <w:p w14:paraId="015D0405">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无形资产概述（理解）</w:t>
      </w:r>
    </w:p>
    <w:p w14:paraId="33B4E955">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无形资产的初始计量（应用）</w:t>
      </w:r>
    </w:p>
    <w:p w14:paraId="6E06E3BD">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内部研究开发费用的确认与计量（应用）</w:t>
      </w:r>
    </w:p>
    <w:p w14:paraId="2232F863">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第四节 无形资产的后续计量（应用）</w:t>
      </w:r>
    </w:p>
    <w:p w14:paraId="1458A314">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第五节 无形资产的处置（应用）</w:t>
      </w:r>
    </w:p>
    <w:p w14:paraId="49F8D177">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第八章 投资性房地产</w:t>
      </w:r>
    </w:p>
    <w:p w14:paraId="6EDF6D66">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投资性房地产概述（理解）</w:t>
      </w:r>
    </w:p>
    <w:p w14:paraId="70249522">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投资性房地产的确认与初始计量（应用）</w:t>
      </w:r>
    </w:p>
    <w:p w14:paraId="26B71D69">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投资性房地产的后续计量（应用）</w:t>
      </w:r>
    </w:p>
    <w:p w14:paraId="6C45B026">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第四节 投资性房地产的后续支出（理解）</w:t>
      </w:r>
    </w:p>
    <w:p w14:paraId="26984FEA">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第五节 投资性房地产的处置（理解）</w:t>
      </w:r>
    </w:p>
    <w:p w14:paraId="367B412E">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第九章 负债</w:t>
      </w:r>
    </w:p>
    <w:p w14:paraId="44136437">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负债概述（识记）</w:t>
      </w:r>
    </w:p>
    <w:p w14:paraId="48F35515">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流动负债（应用）</w:t>
      </w:r>
    </w:p>
    <w:p w14:paraId="7FBF4C24">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非流动负债（应用）</w:t>
      </w:r>
    </w:p>
    <w:p w14:paraId="7BF5FB1C">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第十章 所有者权益</w:t>
      </w:r>
    </w:p>
    <w:p w14:paraId="5004A668">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所有者权益概述（识记）</w:t>
      </w:r>
    </w:p>
    <w:p w14:paraId="3DFF1748">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投入资本（应用）</w:t>
      </w:r>
    </w:p>
    <w:p w14:paraId="54057B7B">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留存收益（应用）</w:t>
      </w:r>
    </w:p>
    <w:p w14:paraId="33463578">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第十一章 费用</w:t>
      </w:r>
    </w:p>
    <w:p w14:paraId="0EEAAFBE">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费用的概念及确认（识记）</w:t>
      </w:r>
    </w:p>
    <w:p w14:paraId="254C2F1C">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期间费用（理解）</w:t>
      </w:r>
    </w:p>
    <w:p w14:paraId="25AF891A">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第十二章 收入和利润</w:t>
      </w:r>
    </w:p>
    <w:p w14:paraId="21AD3692">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收入（应用）</w:t>
      </w:r>
    </w:p>
    <w:p w14:paraId="58F2157E">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利润（应用）</w:t>
      </w:r>
    </w:p>
    <w:p w14:paraId="76DEF293">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所得税（应用）</w:t>
      </w:r>
    </w:p>
    <w:p w14:paraId="42696524">
      <w:pPr>
        <w:snapToGrid w:val="0"/>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第十三章 财务报告</w:t>
      </w:r>
    </w:p>
    <w:p w14:paraId="66BCB354">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第一节 财务报告概述（识记）</w:t>
      </w:r>
    </w:p>
    <w:p w14:paraId="72A3F13A">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第二节 资产负债表（应用）</w:t>
      </w:r>
    </w:p>
    <w:p w14:paraId="18699C12">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第三节 利润表（应用）</w:t>
      </w:r>
    </w:p>
    <w:p w14:paraId="3BD5DB8E">
      <w:pPr>
        <w:snapToGrid w:val="0"/>
        <w:spacing w:before="312" w:beforeLines="100"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Ⅲ.考试形式及试卷结构</w:t>
      </w:r>
    </w:p>
    <w:p w14:paraId="6585CA42">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1．考试形式为闭卷、笔试，考试时间为120分钟，试卷满分为100分。</w:t>
      </w:r>
    </w:p>
    <w:p w14:paraId="06DE4C2A">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2．试卷的能力层次结构：识记占10%，理解占40%，应用占50%。</w:t>
      </w:r>
    </w:p>
    <w:p w14:paraId="407BDA8F">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3．试卷的难度结构：试题难易度分为易、较易、较难、难四个等级，其分数比例为，易约占20%，较易约占30%，较难约占30%，难约占20%。</w:t>
      </w:r>
    </w:p>
    <w:p w14:paraId="629CBA04">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4．试卷的题型结构：名词解释（10%）、单选题（</w:t>
      </w:r>
      <w:r>
        <w:rPr>
          <w:rFonts w:ascii="仿宋" w:hAnsi="仿宋" w:eastAsia="仿宋" w:cs="仿宋"/>
          <w:sz w:val="32"/>
          <w:szCs w:val="32"/>
        </w:rPr>
        <w:t>1</w:t>
      </w:r>
      <w:r>
        <w:rPr>
          <w:rFonts w:hint="eastAsia" w:ascii="仿宋" w:hAnsi="仿宋" w:eastAsia="仿宋" w:cs="仿宋"/>
          <w:sz w:val="32"/>
          <w:szCs w:val="32"/>
        </w:rPr>
        <w:t>0%）、多选题（</w:t>
      </w:r>
      <w:r>
        <w:rPr>
          <w:rFonts w:ascii="仿宋" w:hAnsi="仿宋" w:eastAsia="仿宋" w:cs="仿宋"/>
          <w:sz w:val="32"/>
          <w:szCs w:val="32"/>
        </w:rPr>
        <w:t>1</w:t>
      </w:r>
      <w:r>
        <w:rPr>
          <w:rFonts w:hint="eastAsia" w:ascii="仿宋" w:hAnsi="仿宋" w:eastAsia="仿宋" w:cs="仿宋"/>
          <w:sz w:val="32"/>
          <w:szCs w:val="32"/>
        </w:rPr>
        <w:t>0%）、简答题（10%）、计算与分析题（</w:t>
      </w:r>
      <w:r>
        <w:rPr>
          <w:rFonts w:ascii="仿宋" w:hAnsi="仿宋" w:eastAsia="仿宋" w:cs="仿宋"/>
          <w:sz w:val="32"/>
          <w:szCs w:val="32"/>
        </w:rPr>
        <w:t>4</w:t>
      </w:r>
      <w:r>
        <w:rPr>
          <w:rFonts w:hint="eastAsia" w:ascii="仿宋" w:hAnsi="仿宋" w:eastAsia="仿宋" w:cs="仿宋"/>
          <w:sz w:val="32"/>
          <w:szCs w:val="32"/>
        </w:rPr>
        <w:t>0%）、业务综合题（</w:t>
      </w:r>
      <w:r>
        <w:rPr>
          <w:rFonts w:ascii="仿宋" w:hAnsi="仿宋" w:eastAsia="仿宋" w:cs="仿宋"/>
          <w:sz w:val="32"/>
          <w:szCs w:val="32"/>
        </w:rPr>
        <w:t>2</w:t>
      </w:r>
      <w:r>
        <w:rPr>
          <w:rFonts w:hint="eastAsia" w:ascii="仿宋" w:hAnsi="仿宋" w:eastAsia="仿宋" w:cs="仿宋"/>
          <w:sz w:val="32"/>
          <w:szCs w:val="32"/>
        </w:rPr>
        <w:t>0%）等六种题型。</w:t>
      </w:r>
    </w:p>
    <w:p w14:paraId="77791FC8">
      <w:pPr>
        <w:snapToGrid w:val="0"/>
        <w:spacing w:before="312" w:beforeLines="100"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Ⅳ.参考书目</w:t>
      </w:r>
    </w:p>
    <w:p w14:paraId="30C88B88">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1.《中级财务会计（第7版）》，刘永泽、陈立军主编，东北财经大学出版社，20</w:t>
      </w:r>
      <w:r>
        <w:rPr>
          <w:rFonts w:ascii="仿宋" w:hAnsi="仿宋" w:eastAsia="仿宋" w:cs="仿宋"/>
          <w:sz w:val="32"/>
          <w:szCs w:val="32"/>
        </w:rPr>
        <w:t>21</w:t>
      </w:r>
      <w:r>
        <w:rPr>
          <w:rFonts w:hint="eastAsia" w:ascii="仿宋" w:hAnsi="仿宋" w:eastAsia="仿宋" w:cs="仿宋"/>
          <w:sz w:val="32"/>
          <w:szCs w:val="32"/>
        </w:rPr>
        <w:t>年8月（注：选用最新印刷版次）。</w:t>
      </w:r>
    </w:p>
    <w:p w14:paraId="2A714DDD">
      <w:pPr>
        <w:snapToGrid w:val="0"/>
        <w:spacing w:before="312" w:beforeLines="100"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V.题型示例</w:t>
      </w:r>
    </w:p>
    <w:p w14:paraId="4587A26A">
      <w:pPr>
        <w:snapToGrid w:val="0"/>
        <w:spacing w:line="560" w:lineRule="exact"/>
        <w:ind w:firstLine="643"/>
        <w:rPr>
          <w:rFonts w:ascii="仿宋" w:hAnsi="仿宋" w:eastAsia="仿宋" w:cs="仿宋"/>
          <w:b/>
          <w:sz w:val="32"/>
          <w:szCs w:val="32"/>
        </w:rPr>
      </w:pPr>
      <w:r>
        <w:rPr>
          <w:rFonts w:hint="eastAsia" w:ascii="仿宋" w:hAnsi="仿宋" w:eastAsia="仿宋" w:cs="仿宋"/>
          <w:b/>
          <w:sz w:val="32"/>
          <w:szCs w:val="32"/>
        </w:rPr>
        <w:t>一、名词解释</w:t>
      </w:r>
    </w:p>
    <w:p w14:paraId="6A4896CC">
      <w:pPr>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 交易性金融资产</w:t>
      </w:r>
    </w:p>
    <w:p w14:paraId="54DB9B0F">
      <w:pPr>
        <w:snapToGrid w:val="0"/>
        <w:spacing w:line="560" w:lineRule="exact"/>
        <w:ind w:firstLine="643"/>
        <w:rPr>
          <w:rFonts w:ascii="仿宋" w:hAnsi="仿宋" w:eastAsia="仿宋" w:cs="仿宋"/>
          <w:b/>
          <w:sz w:val="32"/>
          <w:szCs w:val="32"/>
        </w:rPr>
      </w:pPr>
      <w:r>
        <w:rPr>
          <w:rFonts w:hint="eastAsia" w:ascii="仿宋" w:hAnsi="仿宋" w:eastAsia="仿宋" w:cs="仿宋"/>
          <w:b/>
          <w:sz w:val="32"/>
          <w:szCs w:val="32"/>
        </w:rPr>
        <w:t>二、单选题</w:t>
      </w:r>
    </w:p>
    <w:p w14:paraId="72F0A8AB">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Hans"/>
        </w:rPr>
        <w:t>．</w:t>
      </w:r>
      <w:r>
        <w:rPr>
          <w:rFonts w:hint="eastAsia" w:ascii="仿宋" w:hAnsi="仿宋" w:eastAsia="仿宋" w:cs="仿宋"/>
          <w:sz w:val="32"/>
          <w:szCs w:val="32"/>
        </w:rPr>
        <w:t>某股份制公司委托某证券公司代理发行普通股1 000 000股，每股面值l元，每股按1.2元的价格出售。按协议，证券公司从发行收入中收取3％的手续费，从发行收入中扣除。则该公司计入资本公积的数额为（  ）元。</w:t>
      </w:r>
    </w:p>
    <w:p w14:paraId="7BCB01B7">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A．164 000    B．200 000     C．120 000      D．0</w:t>
      </w:r>
    </w:p>
    <w:p w14:paraId="15895630">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2．下列关于所得税核算的表述错误的是（    ）。</w:t>
      </w:r>
    </w:p>
    <w:p w14:paraId="4F914D99">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A．“所得税费用”科目下设“当期所得税”和“递延所得税”两个明细科目。</w:t>
      </w:r>
    </w:p>
    <w:p w14:paraId="584E864D">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B．“当期所得税”明细科目反映企业按照应纳税所得额计算的所得税费用金额。</w:t>
      </w:r>
    </w:p>
    <w:p w14:paraId="15311C8E">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C．“递延所得税资产”或“递延所得税负债”的对应科目必定是“所得税费用——递延所得税”。</w:t>
      </w:r>
    </w:p>
    <w:p w14:paraId="190A2DAB">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D．“所得税费用——递延所得税”作为“递延所得税资产”或“递延所得税负债”的对应科目，有可能在借方，也有可能在贷方。</w:t>
      </w:r>
    </w:p>
    <w:p w14:paraId="6D4C7E78">
      <w:pPr>
        <w:snapToGrid w:val="0"/>
        <w:spacing w:line="560" w:lineRule="exact"/>
        <w:ind w:firstLine="643"/>
        <w:rPr>
          <w:rFonts w:ascii="仿宋" w:hAnsi="仿宋" w:eastAsia="仿宋" w:cs="仿宋"/>
          <w:b/>
          <w:sz w:val="32"/>
          <w:szCs w:val="32"/>
        </w:rPr>
      </w:pPr>
      <w:r>
        <w:rPr>
          <w:rFonts w:hint="eastAsia" w:ascii="仿宋" w:hAnsi="仿宋" w:eastAsia="仿宋" w:cs="仿宋"/>
          <w:b/>
          <w:sz w:val="32"/>
          <w:szCs w:val="32"/>
        </w:rPr>
        <w:t>三、多选题</w:t>
      </w:r>
    </w:p>
    <w:p w14:paraId="521B1DF8">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1．关于投资性房地产的后续计量，下列说法正确的有（　　）。</w:t>
      </w:r>
    </w:p>
    <w:p w14:paraId="1BA7C165">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A．采用公允价值模式计量的，不对投资性房地产计提折旧或进行摊销</w:t>
      </w:r>
    </w:p>
    <w:p w14:paraId="317ED2E4">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B．已采用公允价值模式计量的投资性房地产，不得从公允价值模式转为成本模式</w:t>
      </w:r>
    </w:p>
    <w:p w14:paraId="31ED97C2">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C．已采用成本模式计量的，可以转为采用公允价值模式计量</w:t>
      </w:r>
    </w:p>
    <w:p w14:paraId="13C67025">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D．采用成本模式计量的，应对投资性房地产计提折旧或进行摊销</w:t>
      </w:r>
    </w:p>
    <w:p w14:paraId="1E5AABE4">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2．期末企业某设备账面记录如下：原值60万元，已提折旧10万元，已提减值准备2万元。该设备在期末存在减值迹象。同样成新程度设备市价45万元，估计的处置费用1万元，该设备预计未来现金流量现值46万元。以下关于该设备的叙述正确的是（    ）。</w:t>
      </w:r>
    </w:p>
    <w:p w14:paraId="13FA687F">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A．该设备发生减值4万元</w:t>
      </w:r>
    </w:p>
    <w:p w14:paraId="4F87221B">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B．该设备发生减值2万元</w:t>
      </w:r>
    </w:p>
    <w:p w14:paraId="28368181">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C．该设备期末账面价值44万元</w:t>
      </w:r>
    </w:p>
    <w:p w14:paraId="48F61FC3">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D．该设备期末账面价值46万元</w:t>
      </w:r>
    </w:p>
    <w:p w14:paraId="2889FF15">
      <w:pPr>
        <w:snapToGrid w:val="0"/>
        <w:spacing w:line="560" w:lineRule="exact"/>
        <w:ind w:firstLine="643"/>
        <w:rPr>
          <w:rFonts w:ascii="仿宋" w:hAnsi="仿宋" w:eastAsia="仿宋" w:cs="仿宋"/>
          <w:b/>
          <w:sz w:val="32"/>
          <w:szCs w:val="32"/>
        </w:rPr>
      </w:pPr>
      <w:r>
        <w:rPr>
          <w:rFonts w:hint="eastAsia" w:ascii="仿宋" w:hAnsi="仿宋" w:eastAsia="仿宋" w:cs="仿宋"/>
          <w:b/>
          <w:sz w:val="32"/>
          <w:szCs w:val="32"/>
        </w:rPr>
        <w:t>四、简答题</w:t>
      </w:r>
    </w:p>
    <w:p w14:paraId="578EC571">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1．简述预计负债的确认条件，并举一例分析其确认对会计信息质量的影响。</w:t>
      </w:r>
    </w:p>
    <w:p w14:paraId="047DE075">
      <w:pPr>
        <w:snapToGrid w:val="0"/>
        <w:spacing w:line="560" w:lineRule="exact"/>
        <w:ind w:firstLine="643"/>
        <w:rPr>
          <w:rFonts w:ascii="仿宋" w:hAnsi="仿宋" w:eastAsia="仿宋" w:cs="仿宋"/>
          <w:b/>
          <w:sz w:val="32"/>
          <w:szCs w:val="32"/>
        </w:rPr>
      </w:pPr>
      <w:r>
        <w:rPr>
          <w:rFonts w:hint="eastAsia" w:ascii="仿宋" w:hAnsi="仿宋" w:eastAsia="仿宋" w:cs="仿宋"/>
          <w:b/>
          <w:sz w:val="32"/>
          <w:szCs w:val="32"/>
        </w:rPr>
        <w:t>五、计算与分析题</w:t>
      </w:r>
    </w:p>
    <w:p w14:paraId="3CBB03AE">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1.某企业2019年6月初的资产总额为2 000 000元，负债总额为600 000元，所有者权益总额为1 400 000 元。6月中旬从银行借入借款期限为5个月的短期借款800 000 元，应当由6月份承担的费用为120 000元，6月末的资产总额为2 840 000元。假设6月份没有其他的经济业务。</w:t>
      </w:r>
    </w:p>
    <w:p w14:paraId="1E94E575">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 xml:space="preserve">请计算2019年6月份的收入额并说明其遵循的会计基本理论。  </w:t>
      </w:r>
    </w:p>
    <w:p w14:paraId="22326D13">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 xml:space="preserve">2.资料：某公司2019年6月30日银行存款日记账余额是57 685元，银行送来的对账单余额为60 237元，经逐笔核对发现两者有下列不同之处： </w:t>
      </w:r>
    </w:p>
    <w:p w14:paraId="1C49115E">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（1）本公司开出转账支票向A公司购买发票打印机一台具，价值1 580元，A公司未去银行办理转账手续。 </w:t>
      </w:r>
    </w:p>
    <w:p w14:paraId="166F2B26">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（2）本公司委托银行代收销货款7 500元，款项银行已收妥入账，本公司尚未收到银行的入账通知。 </w:t>
      </w:r>
    </w:p>
    <w:p w14:paraId="00CFDAD3">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（3）收到H公司交来的转账支票3 700元，本公司已送交银行办理，并已入账，但银行尚未入账。 </w:t>
      </w:r>
    </w:p>
    <w:p w14:paraId="08B39DE9">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（4）银行扣收对公设备使用费600元，但本公司尚未入账。 </w:t>
      </w:r>
    </w:p>
    <w:p w14:paraId="67990D17">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（5）银行代付水电费2 511元，但公司尚未收到付款通知。 </w:t>
      </w:r>
    </w:p>
    <w:p w14:paraId="3A1DFFA1">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（6）本公司本月银行存款利息283元，但公司尚未收到银行的入账通知。 </w:t>
      </w:r>
    </w:p>
    <w:p w14:paraId="3BD00A88">
      <w:pPr>
        <w:adjustRightInd w:val="0"/>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rPr>
        <w:t>根据以上资料有关内容，编制“银行存款余额调节表”。</w:t>
      </w:r>
    </w:p>
    <w:p w14:paraId="6C1E3E63">
      <w:pPr>
        <w:snapToGrid w:val="0"/>
        <w:spacing w:line="560" w:lineRule="exact"/>
        <w:ind w:firstLine="643"/>
        <w:rPr>
          <w:rFonts w:ascii="仿宋" w:hAnsi="仿宋" w:eastAsia="仿宋" w:cs="仿宋"/>
          <w:b/>
          <w:sz w:val="32"/>
          <w:szCs w:val="32"/>
        </w:rPr>
      </w:pPr>
      <w:r>
        <w:rPr>
          <w:rFonts w:hint="eastAsia" w:ascii="仿宋" w:hAnsi="仿宋" w:eastAsia="仿宋" w:cs="仿宋"/>
          <w:b/>
          <w:sz w:val="32"/>
          <w:szCs w:val="32"/>
        </w:rPr>
        <w:t>六、业务综合题</w:t>
      </w:r>
    </w:p>
    <w:p w14:paraId="20D0C43A">
      <w:pPr>
        <w:widowControl/>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1.B公司6月</w:t>
      </w:r>
      <w:r>
        <w:rPr>
          <w:rFonts w:hint="eastAsia" w:ascii="仿宋" w:hAnsi="仿宋" w:eastAsia="仿宋" w:cs="仿宋"/>
          <w:sz w:val="32"/>
          <w:szCs w:val="32"/>
          <w:lang w:val="en-US" w:eastAsia="zh-CN"/>
        </w:rPr>
        <w:t>份</w:t>
      </w:r>
      <w:bookmarkStart w:id="0" w:name="_GoBack"/>
      <w:bookmarkEnd w:id="0"/>
      <w:r>
        <w:rPr>
          <w:rFonts w:hint="eastAsia" w:ascii="仿宋" w:hAnsi="仿宋" w:eastAsia="仿宋" w:cs="仿宋"/>
          <w:sz w:val="32"/>
          <w:szCs w:val="32"/>
        </w:rPr>
        <w:t>发生以下生产加工业务：</w:t>
      </w:r>
    </w:p>
    <w:p w14:paraId="2C608389">
      <w:pPr>
        <w:widowControl/>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（1）本月领用材料情况见下表：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9"/>
        <w:gridCol w:w="1321"/>
        <w:gridCol w:w="1425"/>
        <w:gridCol w:w="1561"/>
        <w:gridCol w:w="1425"/>
        <w:gridCol w:w="1321"/>
      </w:tblGrid>
      <w:tr w14:paraId="62D44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809" w:type="dxa"/>
            <w:tcBorders>
              <w:left w:val="nil"/>
            </w:tcBorders>
            <w:vAlign w:val="center"/>
          </w:tcPr>
          <w:p w14:paraId="1080BF0F">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材料用途</w:t>
            </w:r>
          </w:p>
        </w:tc>
        <w:tc>
          <w:tcPr>
            <w:tcW w:w="1560" w:type="dxa"/>
            <w:tcBorders>
              <w:right w:val="single" w:color="auto" w:sz="4" w:space="0"/>
            </w:tcBorders>
            <w:vAlign w:val="center"/>
          </w:tcPr>
          <w:p w14:paraId="0E9F07E4">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甲产品</w:t>
            </w:r>
          </w:p>
        </w:tc>
        <w:tc>
          <w:tcPr>
            <w:tcW w:w="1701" w:type="dxa"/>
            <w:tcBorders>
              <w:left w:val="single" w:color="auto" w:sz="4" w:space="0"/>
            </w:tcBorders>
            <w:vAlign w:val="center"/>
          </w:tcPr>
          <w:p w14:paraId="54544F8E">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乙产品</w:t>
            </w:r>
          </w:p>
        </w:tc>
        <w:tc>
          <w:tcPr>
            <w:tcW w:w="1842" w:type="dxa"/>
            <w:vAlign w:val="center"/>
          </w:tcPr>
          <w:p w14:paraId="6B2D6A10">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生产车间修理用</w:t>
            </w:r>
          </w:p>
        </w:tc>
        <w:tc>
          <w:tcPr>
            <w:tcW w:w="1701" w:type="dxa"/>
            <w:vAlign w:val="center"/>
          </w:tcPr>
          <w:p w14:paraId="675A1F30">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行政管理部门用</w:t>
            </w:r>
          </w:p>
        </w:tc>
        <w:tc>
          <w:tcPr>
            <w:tcW w:w="1560" w:type="dxa"/>
            <w:tcBorders>
              <w:right w:val="nil"/>
            </w:tcBorders>
            <w:vAlign w:val="center"/>
          </w:tcPr>
          <w:p w14:paraId="3450AC10">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合计</w:t>
            </w:r>
          </w:p>
        </w:tc>
      </w:tr>
      <w:tr w14:paraId="2156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tcBorders>
              <w:left w:val="nil"/>
              <w:bottom w:val="single" w:color="auto" w:sz="4" w:space="0"/>
            </w:tcBorders>
            <w:vAlign w:val="center"/>
          </w:tcPr>
          <w:p w14:paraId="2B442AFA">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X材料</w:t>
            </w:r>
          </w:p>
        </w:tc>
        <w:tc>
          <w:tcPr>
            <w:tcW w:w="1560" w:type="dxa"/>
            <w:vAlign w:val="center"/>
          </w:tcPr>
          <w:p w14:paraId="026BE9CF">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15 000</w:t>
            </w:r>
          </w:p>
        </w:tc>
        <w:tc>
          <w:tcPr>
            <w:tcW w:w="1701" w:type="dxa"/>
            <w:vAlign w:val="center"/>
          </w:tcPr>
          <w:p w14:paraId="4D8C1407">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7 800</w:t>
            </w:r>
          </w:p>
        </w:tc>
        <w:tc>
          <w:tcPr>
            <w:tcW w:w="1842" w:type="dxa"/>
            <w:vAlign w:val="center"/>
          </w:tcPr>
          <w:p w14:paraId="494C7808">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1 300</w:t>
            </w:r>
          </w:p>
        </w:tc>
        <w:tc>
          <w:tcPr>
            <w:tcW w:w="1701" w:type="dxa"/>
            <w:vAlign w:val="center"/>
          </w:tcPr>
          <w:p w14:paraId="17C25602">
            <w:pPr>
              <w:tabs>
                <w:tab w:val="left" w:pos="2160"/>
                <w:tab w:val="left" w:pos="3240"/>
                <w:tab w:val="left" w:pos="4320"/>
                <w:tab w:val="left" w:pos="5400"/>
              </w:tabs>
              <w:snapToGrid w:val="0"/>
              <w:spacing w:line="240" w:lineRule="auto"/>
              <w:ind w:firstLine="560"/>
              <w:jc w:val="center"/>
              <w:rPr>
                <w:rFonts w:ascii="仿宋" w:hAnsi="仿宋" w:eastAsia="仿宋" w:cs="仿宋"/>
                <w:sz w:val="28"/>
                <w:szCs w:val="28"/>
              </w:rPr>
            </w:pPr>
          </w:p>
        </w:tc>
        <w:tc>
          <w:tcPr>
            <w:tcW w:w="1560" w:type="dxa"/>
            <w:tcBorders>
              <w:right w:val="nil"/>
            </w:tcBorders>
            <w:vAlign w:val="center"/>
          </w:tcPr>
          <w:p w14:paraId="259B7BB3">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24 100</w:t>
            </w:r>
          </w:p>
        </w:tc>
      </w:tr>
      <w:tr w14:paraId="78AA3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tcBorders>
              <w:top w:val="single" w:color="auto" w:sz="4" w:space="0"/>
              <w:left w:val="nil"/>
              <w:bottom w:val="single" w:color="auto" w:sz="4" w:space="0"/>
            </w:tcBorders>
            <w:vAlign w:val="center"/>
          </w:tcPr>
          <w:p w14:paraId="7AA13A68">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Y材料</w:t>
            </w:r>
          </w:p>
        </w:tc>
        <w:tc>
          <w:tcPr>
            <w:tcW w:w="1560" w:type="dxa"/>
            <w:vAlign w:val="center"/>
          </w:tcPr>
          <w:p w14:paraId="435A80F1">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6 000</w:t>
            </w:r>
          </w:p>
        </w:tc>
        <w:tc>
          <w:tcPr>
            <w:tcW w:w="1701" w:type="dxa"/>
            <w:vAlign w:val="center"/>
          </w:tcPr>
          <w:p w14:paraId="280679A5">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2 000</w:t>
            </w:r>
          </w:p>
        </w:tc>
        <w:tc>
          <w:tcPr>
            <w:tcW w:w="1842" w:type="dxa"/>
            <w:vAlign w:val="center"/>
          </w:tcPr>
          <w:p w14:paraId="0CA681F7">
            <w:pPr>
              <w:tabs>
                <w:tab w:val="left" w:pos="2160"/>
                <w:tab w:val="left" w:pos="3240"/>
                <w:tab w:val="left" w:pos="4320"/>
                <w:tab w:val="left" w:pos="5400"/>
              </w:tabs>
              <w:snapToGrid w:val="0"/>
              <w:spacing w:line="240" w:lineRule="auto"/>
              <w:ind w:firstLine="140" w:firstLineChars="50"/>
              <w:jc w:val="center"/>
              <w:rPr>
                <w:rFonts w:ascii="仿宋" w:hAnsi="仿宋" w:eastAsia="仿宋" w:cs="仿宋"/>
                <w:sz w:val="28"/>
                <w:szCs w:val="28"/>
              </w:rPr>
            </w:pPr>
            <w:r>
              <w:rPr>
                <w:rFonts w:hint="eastAsia" w:ascii="仿宋" w:hAnsi="仿宋" w:eastAsia="仿宋" w:cs="仿宋"/>
                <w:sz w:val="28"/>
                <w:szCs w:val="28"/>
              </w:rPr>
              <w:t>150</w:t>
            </w:r>
          </w:p>
        </w:tc>
        <w:tc>
          <w:tcPr>
            <w:tcW w:w="1701" w:type="dxa"/>
            <w:vAlign w:val="center"/>
          </w:tcPr>
          <w:p w14:paraId="046655F6">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250</w:t>
            </w:r>
          </w:p>
        </w:tc>
        <w:tc>
          <w:tcPr>
            <w:tcW w:w="1560" w:type="dxa"/>
            <w:tcBorders>
              <w:right w:val="nil"/>
            </w:tcBorders>
            <w:vAlign w:val="center"/>
          </w:tcPr>
          <w:p w14:paraId="68DBDE28">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8 400</w:t>
            </w:r>
          </w:p>
        </w:tc>
      </w:tr>
      <w:tr w14:paraId="30008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809" w:type="dxa"/>
            <w:tcBorders>
              <w:top w:val="single" w:color="auto" w:sz="4" w:space="0"/>
              <w:left w:val="nil"/>
            </w:tcBorders>
            <w:vAlign w:val="center"/>
          </w:tcPr>
          <w:p w14:paraId="35F3DF62">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合计</w:t>
            </w:r>
          </w:p>
        </w:tc>
        <w:tc>
          <w:tcPr>
            <w:tcW w:w="1560" w:type="dxa"/>
            <w:vAlign w:val="center"/>
          </w:tcPr>
          <w:p w14:paraId="64EF319F">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21 000</w:t>
            </w:r>
          </w:p>
        </w:tc>
        <w:tc>
          <w:tcPr>
            <w:tcW w:w="1701" w:type="dxa"/>
            <w:vAlign w:val="center"/>
          </w:tcPr>
          <w:p w14:paraId="76394CC4">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9 800</w:t>
            </w:r>
          </w:p>
        </w:tc>
        <w:tc>
          <w:tcPr>
            <w:tcW w:w="1842" w:type="dxa"/>
            <w:vAlign w:val="center"/>
          </w:tcPr>
          <w:p w14:paraId="33FC4FD4">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1 450</w:t>
            </w:r>
          </w:p>
        </w:tc>
        <w:tc>
          <w:tcPr>
            <w:tcW w:w="1701" w:type="dxa"/>
            <w:vAlign w:val="center"/>
          </w:tcPr>
          <w:p w14:paraId="3457E738">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250</w:t>
            </w:r>
          </w:p>
        </w:tc>
        <w:tc>
          <w:tcPr>
            <w:tcW w:w="1560" w:type="dxa"/>
            <w:tcBorders>
              <w:right w:val="nil"/>
            </w:tcBorders>
            <w:vAlign w:val="center"/>
          </w:tcPr>
          <w:p w14:paraId="22ABE379">
            <w:pPr>
              <w:tabs>
                <w:tab w:val="left" w:pos="2160"/>
                <w:tab w:val="left" w:pos="3240"/>
                <w:tab w:val="left" w:pos="4320"/>
                <w:tab w:val="left" w:pos="5400"/>
              </w:tabs>
              <w:snapToGrid w:val="0"/>
              <w:spacing w:line="240" w:lineRule="auto"/>
              <w:ind w:firstLine="0" w:firstLineChars="0"/>
              <w:jc w:val="center"/>
              <w:rPr>
                <w:rFonts w:ascii="仿宋" w:hAnsi="仿宋" w:eastAsia="仿宋" w:cs="仿宋"/>
                <w:sz w:val="28"/>
                <w:szCs w:val="28"/>
              </w:rPr>
            </w:pPr>
            <w:r>
              <w:rPr>
                <w:rFonts w:hint="eastAsia" w:ascii="仿宋" w:hAnsi="仿宋" w:eastAsia="仿宋" w:cs="仿宋"/>
                <w:sz w:val="28"/>
                <w:szCs w:val="28"/>
              </w:rPr>
              <w:t>32 500</w:t>
            </w:r>
          </w:p>
        </w:tc>
      </w:tr>
    </w:tbl>
    <w:p w14:paraId="43314E48">
      <w:pPr>
        <w:widowControl/>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（2）结算本月应付职工工资总额为18 000元，其中：生产工人工资总额为l0 000元（甲产品7 500元，乙产品2 500元），车间管理人员的工资总额为5 000元，企业管理人员的工资总额为3 000元。</w:t>
      </w:r>
    </w:p>
    <w:p w14:paraId="18950270">
      <w:pPr>
        <w:widowControl/>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（3）以银行存款支付水电费1 050元，其中企业管理部门水电费700元，车间水电费350元。</w:t>
      </w:r>
    </w:p>
    <w:p w14:paraId="44D86897">
      <w:pPr>
        <w:widowControl/>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（4）计提本月固定资产折旧7 000元，其中车间用的固定资产计提5 000元，企业管理部门用的固定资产计提2 000元。</w:t>
      </w:r>
    </w:p>
    <w:p w14:paraId="0E2F1016">
      <w:pPr>
        <w:widowControl/>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（5）月末按甲、乙两种产品生产工人工资比例将本月制造费用分配计入上述两种产品的成本。</w:t>
      </w:r>
    </w:p>
    <w:p w14:paraId="5AC4E8F8">
      <w:pPr>
        <w:widowControl/>
        <w:snapToGrid w:val="0"/>
        <w:spacing w:before="72" w:line="560" w:lineRule="exact"/>
        <w:ind w:firstLine="640"/>
        <w:rPr>
          <w:rFonts w:ascii="仿宋" w:hAnsi="仿宋" w:eastAsia="仿宋" w:cs="仿宋"/>
          <w:sz w:val="32"/>
          <w:szCs w:val="32"/>
        </w:rPr>
      </w:pPr>
      <w:r>
        <w:rPr>
          <w:rFonts w:hint="eastAsia" w:ascii="仿宋" w:hAnsi="仿宋" w:eastAsia="仿宋" w:cs="仿宋"/>
          <w:sz w:val="32"/>
          <w:szCs w:val="32"/>
        </w:rPr>
        <w:t>（6）月末甲、乙两种产品全部完工入库，结转完工产品的生产成本。</w:t>
      </w:r>
    </w:p>
    <w:p w14:paraId="020AFBB8">
      <w:pPr>
        <w:widowControl/>
        <w:shd w:val="clear" w:color="auto" w:fill="FFFFFF"/>
        <w:snapToGrid w:val="0"/>
        <w:spacing w:line="560" w:lineRule="exact"/>
        <w:ind w:firstLine="640"/>
        <w:jc w:val="left"/>
        <w:rPr>
          <w:rFonts w:ascii="仿宋" w:hAnsi="仿宋" w:eastAsia="仿宋" w:cs="仿宋"/>
          <w:b/>
          <w:sz w:val="32"/>
          <w:szCs w:val="32"/>
        </w:rPr>
      </w:pPr>
      <w:r>
        <w:rPr>
          <w:rFonts w:hint="eastAsia" w:ascii="仿宋" w:hAnsi="仿宋" w:eastAsia="仿宋" w:cs="仿宋"/>
          <w:sz w:val="32"/>
          <w:szCs w:val="32"/>
        </w:rPr>
        <w:t>要求：根据资料，编制B公司上述业务会计分录。</w:t>
      </w:r>
    </w:p>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45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749B">
    <w:pPr>
      <w:pStyle w:val="12"/>
      <w:ind w:firstLine="360"/>
      <w:jc w:val="center"/>
    </w:pPr>
  </w:p>
  <w:p w14:paraId="20964675">
    <w:pPr>
      <w:pStyle w:val="12"/>
      <w:spacing w:before="240"/>
      <w:ind w:firstLine="360"/>
      <w:jc w:val="center"/>
    </w:pPr>
    <w:r>
      <w:fldChar w:fldCharType="begin"/>
    </w:r>
    <w:r>
      <w:instrText xml:space="preserve"> PAGE   \* MERGEFORMAT </w:instrText>
    </w:r>
    <w:r>
      <w:fldChar w:fldCharType="separate"/>
    </w:r>
    <w:r>
      <w:rPr>
        <w:lang w:val="zh-CN"/>
      </w:rPr>
      <w:t>7</w:t>
    </w:r>
    <w:r>
      <w:rPr>
        <w:lang w:val="zh-CN"/>
      </w:rPr>
      <w:fldChar w:fldCharType="end"/>
    </w:r>
  </w:p>
  <w:p w14:paraId="49392BB5">
    <w:pPr>
      <w:pStyle w:val="12"/>
      <w:spacing w:before="2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EF9F">
    <w:pPr>
      <w:pStyle w:val="12"/>
      <w:ind w:firstLine="360"/>
      <w:jc w:val="center"/>
    </w:pPr>
    <w:r>
      <w:fldChar w:fldCharType="begin"/>
    </w:r>
    <w:r>
      <w:instrText xml:space="preserve">PAGE   \* MERGEFORMAT</w:instrText>
    </w:r>
    <w:r>
      <w:fldChar w:fldCharType="separate"/>
    </w:r>
    <w:r>
      <w:rPr>
        <w:lang w:val="zh-CN"/>
      </w:rPr>
      <w:t>8</w:t>
    </w:r>
    <w:r>
      <w:fldChar w:fldCharType="end"/>
    </w:r>
  </w:p>
  <w:p w14:paraId="4A56E82A">
    <w:pPr>
      <w:pStyle w:val="12"/>
      <w:spacing w:before="24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F0D6">
    <w:pPr>
      <w:pStyle w:val="13"/>
      <w:pBdr>
        <w:bottom w:val="none" w:color="auto" w:sz="0" w:space="0"/>
      </w:pBdr>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A06AB">
    <w:pPr>
      <w:pStyle w:val="13"/>
      <w:pBdr>
        <w:bottom w:val="none" w:color="auto" w:sz="0" w:space="0"/>
      </w:pBdr>
      <w:spacing w:before="2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9565">
    <w:pPr>
      <w:pStyle w:val="13"/>
      <w:pBdr>
        <w:bottom w:val="none" w:color="auto" w:sz="0" w:space="0"/>
      </w:pBdr>
      <w:spacing w:before="24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DRlZjg4MGMxZjMwZmVhZGUxNGVjOTcxMTU4ZTQifQ=="/>
  </w:docVars>
  <w:rsids>
    <w:rsidRoot w:val="001A5EDE"/>
    <w:rsid w:val="0007504B"/>
    <w:rsid w:val="001A5EDE"/>
    <w:rsid w:val="00392556"/>
    <w:rsid w:val="003B0265"/>
    <w:rsid w:val="00544DA0"/>
    <w:rsid w:val="005B2109"/>
    <w:rsid w:val="00842803"/>
    <w:rsid w:val="0084442E"/>
    <w:rsid w:val="00936D47"/>
    <w:rsid w:val="009630B5"/>
    <w:rsid w:val="009C00EF"/>
    <w:rsid w:val="00AA2DE2"/>
    <w:rsid w:val="00B2172A"/>
    <w:rsid w:val="00C020D5"/>
    <w:rsid w:val="00C05E99"/>
    <w:rsid w:val="00C831F2"/>
    <w:rsid w:val="00CA1554"/>
    <w:rsid w:val="00F06882"/>
    <w:rsid w:val="00FF7807"/>
    <w:rsid w:val="01072ADA"/>
    <w:rsid w:val="011C7432"/>
    <w:rsid w:val="07A725EC"/>
    <w:rsid w:val="09080053"/>
    <w:rsid w:val="14314130"/>
    <w:rsid w:val="168B5914"/>
    <w:rsid w:val="17866B55"/>
    <w:rsid w:val="19EF66AB"/>
    <w:rsid w:val="1AD97A55"/>
    <w:rsid w:val="2A5114CA"/>
    <w:rsid w:val="303F7205"/>
    <w:rsid w:val="30480835"/>
    <w:rsid w:val="30E11A36"/>
    <w:rsid w:val="367F7207"/>
    <w:rsid w:val="378F7EBA"/>
    <w:rsid w:val="39A178CC"/>
    <w:rsid w:val="3B7F6A90"/>
    <w:rsid w:val="3C4746BD"/>
    <w:rsid w:val="3E7A5EC0"/>
    <w:rsid w:val="4656198E"/>
    <w:rsid w:val="492D312F"/>
    <w:rsid w:val="4B6006DE"/>
    <w:rsid w:val="4C0C5141"/>
    <w:rsid w:val="582F47D4"/>
    <w:rsid w:val="5EB21BC4"/>
    <w:rsid w:val="61C21A33"/>
    <w:rsid w:val="63E3310B"/>
    <w:rsid w:val="688E692A"/>
    <w:rsid w:val="6A8F76F1"/>
    <w:rsid w:val="6FDE251B"/>
    <w:rsid w:val="71077918"/>
    <w:rsid w:val="79A1129C"/>
    <w:rsid w:val="7BB9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宋体"/>
      <w:kern w:val="2"/>
      <w:sz w:val="24"/>
      <w:szCs w:val="22"/>
      <w:lang w:val="en-US" w:eastAsia="zh-CN" w:bidi="ar-SA"/>
    </w:rPr>
  </w:style>
  <w:style w:type="paragraph" w:styleId="2">
    <w:name w:val="heading 1"/>
    <w:basedOn w:val="1"/>
    <w:next w:val="1"/>
    <w:link w:val="28"/>
    <w:qFormat/>
    <w:uiPriority w:val="9"/>
    <w:pPr>
      <w:keepNext/>
      <w:keepLines/>
      <w:ind w:firstLine="0" w:firstLineChars="0"/>
      <w:jc w:val="center"/>
      <w:outlineLvl w:val="0"/>
    </w:pPr>
    <w:rPr>
      <w:rFonts w:ascii="Times New Roman" w:hAnsi="Times New Roman" w:cs="Times New Roman"/>
      <w:b/>
      <w:bCs/>
      <w:kern w:val="44"/>
      <w:sz w:val="44"/>
      <w:szCs w:val="44"/>
    </w:rPr>
  </w:style>
  <w:style w:type="paragraph" w:styleId="3">
    <w:name w:val="heading 2"/>
    <w:basedOn w:val="1"/>
    <w:next w:val="1"/>
    <w:link w:val="31"/>
    <w:qFormat/>
    <w:uiPriority w:val="9"/>
    <w:pPr>
      <w:keepNext/>
      <w:keepLines/>
      <w:ind w:firstLine="0" w:firstLineChars="0"/>
      <w:jc w:val="center"/>
      <w:outlineLvl w:val="1"/>
    </w:pPr>
    <w:rPr>
      <w:rFonts w:ascii="Cambria" w:hAnsi="Cambria"/>
      <w:b/>
      <w:bCs/>
      <w:szCs w:val="32"/>
    </w:rPr>
  </w:style>
  <w:style w:type="paragraph" w:styleId="4">
    <w:name w:val="heading 3"/>
    <w:basedOn w:val="1"/>
    <w:next w:val="1"/>
    <w:link w:val="29"/>
    <w:qFormat/>
    <w:uiPriority w:val="9"/>
    <w:pPr>
      <w:keepNext/>
      <w:keepLines/>
      <w:outlineLvl w:val="2"/>
    </w:pPr>
    <w:rPr>
      <w:b/>
      <w:bCs/>
      <w:szCs w:val="32"/>
    </w:rPr>
  </w:style>
  <w:style w:type="paragraph" w:styleId="5">
    <w:name w:val="heading 4"/>
    <w:basedOn w:val="1"/>
    <w:next w:val="1"/>
    <w:link w:val="32"/>
    <w:qFormat/>
    <w:uiPriority w:val="9"/>
    <w:pPr>
      <w:keepNext/>
      <w:keepLines/>
      <w:ind w:firstLine="0" w:firstLineChars="0"/>
      <w:jc w:val="center"/>
      <w:outlineLvl w:val="3"/>
    </w:pPr>
    <w:rPr>
      <w:rFonts w:ascii="Cambria" w:hAnsi="Cambria"/>
      <w:b/>
      <w:bCs/>
      <w:sz w:val="32"/>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spacing w:line="240" w:lineRule="auto"/>
      <w:ind w:left="2520" w:leftChars="1200" w:firstLine="0" w:firstLineChars="0"/>
    </w:pPr>
    <w:rPr>
      <w:sz w:val="21"/>
    </w:rPr>
  </w:style>
  <w:style w:type="paragraph" w:styleId="7">
    <w:name w:val="annotation text"/>
    <w:basedOn w:val="1"/>
    <w:semiHidden/>
    <w:unhideWhenUsed/>
    <w:qFormat/>
    <w:uiPriority w:val="99"/>
    <w:pPr>
      <w:jc w:val="left"/>
    </w:pPr>
  </w:style>
  <w:style w:type="paragraph" w:styleId="8">
    <w:name w:val="toc 5"/>
    <w:basedOn w:val="1"/>
    <w:next w:val="1"/>
    <w:qFormat/>
    <w:uiPriority w:val="39"/>
    <w:pPr>
      <w:spacing w:line="240" w:lineRule="auto"/>
      <w:ind w:left="1680" w:leftChars="800" w:firstLine="0" w:firstLineChars="0"/>
    </w:pPr>
    <w:rPr>
      <w:sz w:val="21"/>
    </w:rPr>
  </w:style>
  <w:style w:type="paragraph" w:styleId="9">
    <w:name w:val="toc 3"/>
    <w:basedOn w:val="1"/>
    <w:next w:val="1"/>
    <w:qFormat/>
    <w:uiPriority w:val="39"/>
    <w:pPr>
      <w:ind w:left="840" w:leftChars="400"/>
    </w:pPr>
  </w:style>
  <w:style w:type="paragraph" w:styleId="10">
    <w:name w:val="toc 8"/>
    <w:basedOn w:val="1"/>
    <w:next w:val="1"/>
    <w:qFormat/>
    <w:uiPriority w:val="39"/>
    <w:pPr>
      <w:spacing w:line="240" w:lineRule="auto"/>
      <w:ind w:left="2940" w:leftChars="1400" w:firstLine="0" w:firstLineChars="0"/>
    </w:pPr>
    <w:rPr>
      <w:sz w:val="21"/>
    </w:rPr>
  </w:style>
  <w:style w:type="paragraph" w:styleId="11">
    <w:name w:val="Balloon Text"/>
    <w:basedOn w:val="1"/>
    <w:link w:val="34"/>
    <w:qFormat/>
    <w:uiPriority w:val="99"/>
    <w:pPr>
      <w:spacing w:line="240" w:lineRule="auto"/>
    </w:pPr>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39"/>
    <w:pPr>
      <w:spacing w:line="240" w:lineRule="auto"/>
      <w:ind w:left="1260" w:leftChars="600" w:firstLine="0" w:firstLineChars="0"/>
    </w:pPr>
    <w:rPr>
      <w:sz w:val="21"/>
    </w:rPr>
  </w:style>
  <w:style w:type="paragraph" w:styleId="16">
    <w:name w:val="toc 6"/>
    <w:basedOn w:val="1"/>
    <w:next w:val="1"/>
    <w:qFormat/>
    <w:uiPriority w:val="39"/>
    <w:pPr>
      <w:spacing w:line="240" w:lineRule="auto"/>
      <w:ind w:left="2100" w:leftChars="1000" w:firstLine="0" w:firstLineChars="0"/>
    </w:pPr>
    <w:rPr>
      <w:sz w:val="21"/>
    </w:rPr>
  </w:style>
  <w:style w:type="paragraph" w:styleId="17">
    <w:name w:val="Body Text Indent 3"/>
    <w:basedOn w:val="1"/>
    <w:link w:val="24"/>
    <w:qFormat/>
    <w:uiPriority w:val="0"/>
    <w:pPr>
      <w:spacing w:line="400" w:lineRule="exact"/>
      <w:ind w:firstLine="360" w:firstLineChars="150"/>
    </w:pPr>
    <w:rPr>
      <w:rFonts w:ascii="宋体" w:hAnsi="宋体" w:cs="Times New Roman"/>
      <w:szCs w:val="28"/>
    </w:rPr>
  </w:style>
  <w:style w:type="paragraph" w:styleId="18">
    <w:name w:val="table of figures"/>
    <w:basedOn w:val="1"/>
    <w:next w:val="1"/>
    <w:qFormat/>
    <w:uiPriority w:val="99"/>
    <w:pPr>
      <w:ind w:left="200" w:leftChars="200" w:hanging="200" w:hangingChars="200"/>
    </w:pPr>
  </w:style>
  <w:style w:type="paragraph" w:styleId="19">
    <w:name w:val="toc 2"/>
    <w:basedOn w:val="1"/>
    <w:next w:val="1"/>
    <w:qFormat/>
    <w:uiPriority w:val="39"/>
    <w:pPr>
      <w:tabs>
        <w:tab w:val="right" w:leader="dot" w:pos="8296"/>
      </w:tabs>
      <w:spacing w:line="400" w:lineRule="exact"/>
      <w:ind w:left="480" w:leftChars="200" w:firstLine="420"/>
    </w:pPr>
    <w:rPr>
      <w:sz w:val="21"/>
    </w:rPr>
  </w:style>
  <w:style w:type="paragraph" w:styleId="20">
    <w:name w:val="toc 9"/>
    <w:basedOn w:val="1"/>
    <w:next w:val="1"/>
    <w:qFormat/>
    <w:uiPriority w:val="39"/>
    <w:pPr>
      <w:spacing w:line="240" w:lineRule="auto"/>
      <w:ind w:left="3360" w:leftChars="1600" w:firstLine="0" w:firstLineChars="0"/>
    </w:pPr>
    <w:rPr>
      <w:sz w:val="21"/>
    </w:rPr>
  </w:style>
  <w:style w:type="character" w:styleId="23">
    <w:name w:val="Hyperlink"/>
    <w:basedOn w:val="22"/>
    <w:qFormat/>
    <w:uiPriority w:val="99"/>
    <w:rPr>
      <w:color w:val="0000FF"/>
      <w:u w:val="single"/>
    </w:rPr>
  </w:style>
  <w:style w:type="character" w:customStyle="1" w:styleId="24">
    <w:name w:val="正文文本缩进 3 字符"/>
    <w:basedOn w:val="22"/>
    <w:link w:val="17"/>
    <w:qFormat/>
    <w:uiPriority w:val="0"/>
    <w:rPr>
      <w:rFonts w:ascii="宋体" w:hAnsi="宋体" w:eastAsia="宋体" w:cs="Times New Roman"/>
      <w:sz w:val="24"/>
      <w:szCs w:val="28"/>
    </w:rPr>
  </w:style>
  <w:style w:type="character" w:customStyle="1" w:styleId="25">
    <w:name w:val="页眉 字符"/>
    <w:basedOn w:val="22"/>
    <w:link w:val="13"/>
    <w:qFormat/>
    <w:uiPriority w:val="99"/>
    <w:rPr>
      <w:sz w:val="18"/>
      <w:szCs w:val="18"/>
    </w:rPr>
  </w:style>
  <w:style w:type="character" w:customStyle="1" w:styleId="26">
    <w:name w:val="页脚 字符"/>
    <w:basedOn w:val="22"/>
    <w:link w:val="12"/>
    <w:qFormat/>
    <w:uiPriority w:val="99"/>
    <w:rPr>
      <w:sz w:val="18"/>
      <w:szCs w:val="18"/>
    </w:rPr>
  </w:style>
  <w:style w:type="paragraph" w:styleId="27">
    <w:name w:val="List Paragraph"/>
    <w:basedOn w:val="1"/>
    <w:qFormat/>
    <w:uiPriority w:val="34"/>
    <w:pPr>
      <w:ind w:firstLine="420"/>
    </w:pPr>
  </w:style>
  <w:style w:type="character" w:customStyle="1" w:styleId="28">
    <w:name w:val="标题 1 字符"/>
    <w:basedOn w:val="22"/>
    <w:link w:val="2"/>
    <w:qFormat/>
    <w:uiPriority w:val="9"/>
    <w:rPr>
      <w:rFonts w:ascii="Times New Roman" w:hAnsi="Times New Roman" w:eastAsia="宋体" w:cs="Times New Roman"/>
      <w:b/>
      <w:bCs/>
      <w:kern w:val="44"/>
      <w:sz w:val="44"/>
      <w:szCs w:val="44"/>
    </w:rPr>
  </w:style>
  <w:style w:type="character" w:customStyle="1" w:styleId="29">
    <w:name w:val="标题 3 字符"/>
    <w:basedOn w:val="22"/>
    <w:link w:val="4"/>
    <w:qFormat/>
    <w:uiPriority w:val="9"/>
    <w:rPr>
      <w:b/>
      <w:bCs/>
      <w:kern w:val="2"/>
      <w:sz w:val="24"/>
      <w:szCs w:val="32"/>
    </w:rPr>
  </w:style>
  <w:style w:type="character" w:customStyle="1" w:styleId="30">
    <w:name w:val="apple-converted-space"/>
    <w:basedOn w:val="22"/>
    <w:qFormat/>
    <w:uiPriority w:val="0"/>
  </w:style>
  <w:style w:type="character" w:customStyle="1" w:styleId="31">
    <w:name w:val="标题 2 字符"/>
    <w:basedOn w:val="22"/>
    <w:link w:val="3"/>
    <w:qFormat/>
    <w:uiPriority w:val="9"/>
    <w:rPr>
      <w:rFonts w:ascii="Cambria" w:hAnsi="Cambria" w:eastAsia="宋体" w:cs="宋体"/>
      <w:b/>
      <w:bCs/>
      <w:kern w:val="2"/>
      <w:sz w:val="28"/>
      <w:szCs w:val="32"/>
    </w:rPr>
  </w:style>
  <w:style w:type="character" w:customStyle="1" w:styleId="32">
    <w:name w:val="标题 4 字符"/>
    <w:basedOn w:val="22"/>
    <w:link w:val="5"/>
    <w:qFormat/>
    <w:uiPriority w:val="9"/>
    <w:rPr>
      <w:rFonts w:ascii="Cambria" w:hAnsi="Cambria" w:eastAsia="宋体" w:cs="宋体"/>
      <w:b/>
      <w:bCs/>
      <w:kern w:val="2"/>
      <w:sz w:val="32"/>
      <w:szCs w:val="28"/>
    </w:rPr>
  </w:style>
  <w:style w:type="paragraph" w:customStyle="1" w:styleId="33">
    <w:name w:val="TOC 标题1"/>
    <w:basedOn w:val="2"/>
    <w:next w:val="1"/>
    <w:qFormat/>
    <w:uiPriority w:val="39"/>
    <w:pPr>
      <w:widowControl/>
      <w:spacing w:before="480" w:line="276" w:lineRule="auto"/>
      <w:jc w:val="left"/>
      <w:outlineLvl w:val="9"/>
    </w:pPr>
    <w:rPr>
      <w:rFonts w:ascii="Cambria" w:hAnsi="Cambria" w:cs="宋体"/>
      <w:color w:val="365F91"/>
      <w:kern w:val="0"/>
      <w:sz w:val="28"/>
      <w:szCs w:val="28"/>
    </w:rPr>
  </w:style>
  <w:style w:type="character" w:customStyle="1" w:styleId="34">
    <w:name w:val="批注框文本 字符"/>
    <w:basedOn w:val="22"/>
    <w:link w:val="11"/>
    <w:qFormat/>
    <w:uiPriority w:val="99"/>
    <w:rPr>
      <w:kern w:val="2"/>
      <w:sz w:val="18"/>
      <w:szCs w:val="18"/>
    </w:rPr>
  </w:style>
  <w:style w:type="paragraph" w:customStyle="1" w:styleId="35">
    <w:name w:val="Revision"/>
    <w:hidden/>
    <w:semiHidden/>
    <w:qFormat/>
    <w:uiPriority w:val="99"/>
    <w:rPr>
      <w:rFonts w:ascii="Calibri" w:hAnsi="Calibri"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10F2D-E745-48A5-84DA-FD8116DC99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3053</Words>
  <Characters>3237</Characters>
  <Lines>25</Lines>
  <Paragraphs>7</Paragraphs>
  <TotalTime>41</TotalTime>
  <ScaleCrop>false</ScaleCrop>
  <LinksUpToDate>false</LinksUpToDate>
  <CharactersWithSpaces>3379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2019-11-14T03:27:00Z</dcterms:created>
  <dc:creator>lenovo</dc:creator>
  <cp:lastModifiedBy>Administrator</cp:lastModifiedBy>
  <cp:lastPrinted>2018-12-26T08:46:00Z</cp:lastPrinted>
  <dcterms:modified xsi:type="dcterms:W3CDTF">2025-03-04T08:23:24Z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2052-12.1.0.20305</vt:lpwstr>
  </property>
  <property fmtid="{D5CDD505-2E9C-101B-9397-08002B2CF9AE}" pid="4" name="ICV">
    <vt:lpwstr>9FFFFA30229340EB882FC142CBA850D4</vt:lpwstr>
  </property>
  <property fmtid="{D5CDD505-2E9C-101B-9397-08002B2CF9AE}" pid="5" name="KSOTemplateDocerSaveRecord">
    <vt:lpwstr>eyJoZGlkIjoiM2NjNDRlZjg4MGMxZjMwZmVhZGUxNGVjOTcxMTU4ZTQiLCJ1c2VySWQiOiI0Mzc3ODg5MDgifQ==</vt:lpwstr>
  </property>
</Properties>
</file>