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《财务管理》考试大纲</w:t>
      </w:r>
    </w:p>
    <w:p>
      <w:pPr>
        <w:spacing w:line="560" w:lineRule="exact"/>
        <w:ind w:firstLine="0" w:firstLineChars="0"/>
        <w:jc w:val="center"/>
        <w:rPr>
          <w:rFonts w:ascii="仿宋" w:hAnsi="仿宋" w:eastAsia="仿宋" w:cs="仿宋"/>
          <w:b/>
          <w:sz w:val="32"/>
          <w:szCs w:val="32"/>
        </w:rPr>
      </w:pP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I.考试性质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《财务管理》是20</w:t>
      </w:r>
      <w:r>
        <w:rPr>
          <w:rFonts w:hint="eastAsia" w:ascii="仿宋" w:hAnsi="仿宋" w:eastAsia="仿宋" w:cs="仿宋"/>
          <w:sz w:val="32"/>
          <w:szCs w:val="32"/>
          <w:lang w:val="en-US" w:eastAsia="zh-CN"/>
        </w:rPr>
        <w:t>20</w:t>
      </w:r>
      <w:r>
        <w:rPr>
          <w:rFonts w:hint="eastAsia" w:ascii="仿宋" w:hAnsi="仿宋" w:eastAsia="仿宋" w:cs="仿宋"/>
          <w:sz w:val="32"/>
          <w:szCs w:val="32"/>
        </w:rPr>
        <w:t>年顺德职业技术学院与广东财经大学会计学专业三二分段专升本应用型人才培养试点项目转段考核的专业理论考试科目。该考试科目是本学科（专业）的核心课程。作为一项选拔性考试，考试试题在设计上应具有较高的信度和效度，具有必要的区分度和合理的难度系数。</w:t>
      </w:r>
    </w:p>
    <w:p>
      <w:pPr>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Ⅱ.考试内容和要求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本考试科目要求学生在学完相关课程后，能够牢固掌握本科目的基本知识，并具有应用所学知识说明和处理实际问题的能力。据此，本科目的考试着重基本知识考查和应用能力考查两个方面，包括识记、理解、应用三个层次。各层次含义如下：</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w:t>
      </w:r>
    </w:p>
    <w:p>
      <w:pPr>
        <w:spacing w:line="560" w:lineRule="exact"/>
        <w:ind w:firstLine="640"/>
        <w:rPr>
          <w:rFonts w:ascii="仿宋" w:hAnsi="仿宋" w:eastAsia="仿宋" w:cs="仿宋"/>
          <w:sz w:val="32"/>
          <w:szCs w:val="32"/>
        </w:rPr>
      </w:pP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《财务管理》课程</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第一章 概论</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财务管理基本概念（识记）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财务管理的目标（理解）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财务管理原则、观念与组织结构（理解）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财务管理的环境（理解）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第二章 资金的时间价值</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资金时间价值概念（识记）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资金时间价值计算（应用）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资金时间价值的特殊问题（应用）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投资风险分析（理解）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第三章 筹资管理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企业筹资概述（识记）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资金需要量预测（理解）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负债资金筹集（应用）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权益资金筹集（应用）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第四章 资本成本及其结构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资金成本（识记）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杠杆原理（理解）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资本结构（应用）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第五章 项目投资管理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项目投资概述（识记）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项目投资的现金流量估算（理解）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项目投资评价指标的计算与评价（应用）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项目投资决策方法的运用（应用）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第六章 证券投资管理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证券投资管理概述（识记）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债券投资（应用）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股票投资（应用）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基金投资（理解）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第五节 证券投资投资组合决策（理解）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第七章 营运资金管理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营运资金含义与特点（识记）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现金管理（理解）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应收账款管理（应用）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存货管理（应用）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第八章 收益分配管理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收益分配概述（识记）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股利政策（运用）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股票股利、股票分割与股票回购（理解）</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第九章 财务预算</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财务预算概述（识记）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财务预算的编制方法（理解）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编制现金预算与预计财务报表（应用）</w:t>
      </w:r>
    </w:p>
    <w:p>
      <w:pPr>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第十章 财务分析</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财务分析目标（识记）</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第二节 财务分析的内容（理解）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财务分析基本方法（理解）</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财务分析综合应用（应用）</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Ⅲ.考试形式及试卷结构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2．试卷的能力层次结构：识记占10%，理解占40%，应用占50%。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4．试卷的题型结构：名词解释（10%）、单选题（</w:t>
      </w:r>
      <w:r>
        <w:rPr>
          <w:rFonts w:ascii="仿宋" w:hAnsi="仿宋" w:eastAsia="仿宋" w:cs="仿宋"/>
          <w:sz w:val="32"/>
          <w:szCs w:val="32"/>
        </w:rPr>
        <w:t>1</w:t>
      </w:r>
      <w:r>
        <w:rPr>
          <w:rFonts w:hint="eastAsia" w:ascii="仿宋" w:hAnsi="仿宋" w:eastAsia="仿宋" w:cs="仿宋"/>
          <w:sz w:val="32"/>
          <w:szCs w:val="32"/>
        </w:rPr>
        <w:t>0%）、多选题（</w:t>
      </w:r>
      <w:r>
        <w:rPr>
          <w:rFonts w:ascii="仿宋" w:hAnsi="仿宋" w:eastAsia="仿宋" w:cs="仿宋"/>
          <w:sz w:val="32"/>
          <w:szCs w:val="32"/>
        </w:rPr>
        <w:t>1</w:t>
      </w:r>
      <w:r>
        <w:rPr>
          <w:rFonts w:hint="eastAsia" w:ascii="仿宋" w:hAnsi="仿宋" w:eastAsia="仿宋" w:cs="仿宋"/>
          <w:sz w:val="32"/>
          <w:szCs w:val="32"/>
        </w:rPr>
        <w:t>0%）、简答题（10%）、计算与分析题（</w:t>
      </w:r>
      <w:r>
        <w:rPr>
          <w:rFonts w:ascii="仿宋" w:hAnsi="仿宋" w:eastAsia="仿宋" w:cs="仿宋"/>
          <w:sz w:val="32"/>
          <w:szCs w:val="32"/>
        </w:rPr>
        <w:t>4</w:t>
      </w:r>
      <w:r>
        <w:rPr>
          <w:rFonts w:hint="eastAsia" w:ascii="仿宋" w:hAnsi="仿宋" w:eastAsia="仿宋" w:cs="仿宋"/>
          <w:sz w:val="32"/>
          <w:szCs w:val="32"/>
        </w:rPr>
        <w:t>0%）、综合题（</w:t>
      </w:r>
      <w:r>
        <w:rPr>
          <w:rFonts w:ascii="仿宋" w:hAnsi="仿宋" w:eastAsia="仿宋" w:cs="仿宋"/>
          <w:sz w:val="32"/>
          <w:szCs w:val="32"/>
        </w:rPr>
        <w:t>2</w:t>
      </w:r>
      <w:r>
        <w:rPr>
          <w:rFonts w:hint="eastAsia" w:ascii="仿宋" w:hAnsi="仿宋" w:eastAsia="仿宋" w:cs="仿宋"/>
          <w:sz w:val="32"/>
          <w:szCs w:val="32"/>
        </w:rPr>
        <w:t>0%）等六种题型。</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Ⅳ.参考书目</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1.《财务管理-原理、实务、案例、实训》（第四版）孔德兰、许辉编著，东北财经大学出版社，2019年 2月第4版。</w:t>
      </w:r>
    </w:p>
    <w:p>
      <w:pPr>
        <w:spacing w:before="312" w:beforeLines="100" w:line="560" w:lineRule="exact"/>
        <w:ind w:firstLine="643"/>
        <w:jc w:val="center"/>
        <w:rPr>
          <w:rFonts w:ascii="仿宋" w:hAnsi="仿宋" w:eastAsia="仿宋" w:cs="仿宋"/>
          <w:b/>
          <w:sz w:val="32"/>
          <w:szCs w:val="32"/>
        </w:rPr>
      </w:pPr>
      <w:r>
        <w:rPr>
          <w:rFonts w:hint="eastAsia" w:ascii="仿宋" w:hAnsi="仿宋" w:eastAsia="仿宋" w:cs="仿宋"/>
          <w:b/>
          <w:sz w:val="32"/>
          <w:szCs w:val="32"/>
        </w:rPr>
        <w:t>V.题型示例</w:t>
      </w:r>
      <w:bookmarkStart w:id="0" w:name="_GoBack"/>
      <w:bookmarkEnd w:id="0"/>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一、名词解释</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1.资金时间价值</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二、单选题</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1. 已知某投资项目按14%的折现率计算的净现值大于零，按16%的折现率计算的净现值小于零，则该项目的内部收益率肯定（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A.大于14%，小于16%           B.小于14%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C.等于15%                     D.大于16%</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2.企业如果采用保守型的筹资政策，那么其风险、收益表述正确的是（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A.收益高，风险低              B.收益低，风险高  </w:t>
      </w:r>
    </w:p>
    <w:p>
      <w:pPr>
        <w:topLinePunct/>
        <w:spacing w:line="560" w:lineRule="exact"/>
        <w:ind w:firstLine="640"/>
        <w:rPr>
          <w:rFonts w:ascii="仿宋" w:hAnsi="仿宋" w:eastAsia="仿宋" w:cs="仿宋"/>
          <w:sz w:val="32"/>
          <w:szCs w:val="32"/>
        </w:rPr>
      </w:pPr>
      <w:r>
        <w:rPr>
          <w:rFonts w:hint="eastAsia" w:ascii="仿宋" w:hAnsi="仿宋" w:eastAsia="仿宋" w:cs="仿宋"/>
          <w:sz w:val="32"/>
          <w:szCs w:val="32"/>
        </w:rPr>
        <w:t>C.收益低，风险低              D.收益高，风险高</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三、多选题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1.吸收直接投资的优点包括（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A.有利于降低企业资金成本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B.有利于加强对企业的控制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C.有利于壮大企业实力</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D.有利于降低企业财务风险</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2.对于同一投资方案，下列说法正确的是（     ）。</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A.资本成本率越低，净现值越低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B.资本成本率越低，净现值越高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C.当资本成本率相当于内部报酬率时，净现值等于零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D.当资本成本率高于内部报酬率时，净现值小于零</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四、简答题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1.有观点认为“盈利企业给股东创造了价值，而亏损企业摧毁了股东财富”，针对上述观点，请谈谈你的看法。</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五、计算与分析题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1.某公司现有一笔闲置资金，拟投资于某证券组合，该组合由A、B、C三种股票构成，资金权重分别为40%、30%和30%，β系数分别为2.5、1.5和1。其中A股票投资收益率的概率分布如下表所示。</w:t>
      </w:r>
    </w:p>
    <w:tbl>
      <w:tblPr>
        <w:tblStyle w:val="2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状况</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概率</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投资收益率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行情较好</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30%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行情一般</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50%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行情较差</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20%</w:t>
            </w:r>
          </w:p>
        </w:tc>
        <w:tc>
          <w:tcPr>
            <w:tcW w:w="2841" w:type="dxa"/>
          </w:tcPr>
          <w:p>
            <w:pPr>
              <w:adjustRightInd w:val="0"/>
              <w:snapToGrid w:val="0"/>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5%</w:t>
            </w:r>
          </w:p>
        </w:tc>
      </w:tr>
    </w:tbl>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B、C股票的预期收益率分别为10% 和25%，当前无风险利率为4%，市场所有股票的平均报酬率为9%。</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要求:</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（1）计算A股票的预期收益率；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（2）计算该证券组合的预期收益率；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（3）计算该证券组合的β系数；</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（4）请利用资本资产定价模型计算该证券组合的必要收益率；</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（5）请判断该投资组合是否值得投资。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2.某企业现金收支平稳，预计全年（按360天计算）现金需要量为12 000元，现金与有价证券的转换成本为每次150元，有价证券的年利率为10%，要求：</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（1）计算最佳现金持有量；</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（2）计算持有现金的转换成本、机会成本与总成本。</w:t>
      </w:r>
    </w:p>
    <w:p>
      <w:pPr>
        <w:spacing w:line="560" w:lineRule="exact"/>
        <w:ind w:firstLine="643"/>
        <w:rPr>
          <w:rFonts w:ascii="仿宋" w:hAnsi="仿宋" w:eastAsia="仿宋" w:cs="仿宋"/>
          <w:b/>
          <w:sz w:val="32"/>
          <w:szCs w:val="32"/>
        </w:rPr>
      </w:pPr>
      <w:r>
        <w:rPr>
          <w:rFonts w:hint="eastAsia" w:ascii="仿宋" w:hAnsi="仿宋" w:eastAsia="仿宋" w:cs="仿宋"/>
          <w:b/>
          <w:sz w:val="32"/>
          <w:szCs w:val="32"/>
        </w:rPr>
        <w:t>六、综合题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1.某企业3年前投资30 000元购入一台机器，估计还可以使用5年，期满无残值。该机器每年可生产乙产品9 000件，每件售价10元，单位变动成本6元，固定成本共30 000元（含折旧）。</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现企业准备用原机器换入新机器，原机器作价8 000元，新机器标价40 000元。使用新机器后，产量每年可增加4 000件，预计售价降低1元后可全部出售，单位变动成本降低0.5元，固定成本中用现金支付的部分将增加2 000元。新机器估计可使用5年，期满时残值2 000元。设备按直线法折旧，贴现率为10%。</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已知（P/A，10%，5）=3.7908；（P/F，10%，5）=0.6209</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要求计算：</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（1）原机器的净现值；</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（2）新机器的净现值；</w:t>
      </w:r>
    </w:p>
    <w:p>
      <w:pPr>
        <w:spacing w:line="560" w:lineRule="exact"/>
        <w:ind w:firstLine="640"/>
        <w:rPr>
          <w:rFonts w:ascii="仿宋" w:hAnsi="仿宋" w:eastAsia="仿宋" w:cs="仿宋"/>
          <w:b/>
          <w:sz w:val="32"/>
          <w:szCs w:val="32"/>
        </w:rPr>
      </w:pPr>
      <w:r>
        <w:rPr>
          <w:rFonts w:hint="eastAsia" w:ascii="仿宋" w:hAnsi="仿宋" w:eastAsia="仿宋" w:cs="仿宋"/>
          <w:sz w:val="32"/>
          <w:szCs w:val="32"/>
        </w:rPr>
        <w:t>（3）判断该企业是否需要更新设备。</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trackRevisions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NDRlZjg4MGMxZjMwZmVhZGUxNGVjOTcxMTU4ZTQifQ=="/>
  </w:docVars>
  <w:rsids>
    <w:rsidRoot w:val="001A5EDE"/>
    <w:rsid w:val="00027C99"/>
    <w:rsid w:val="0007504B"/>
    <w:rsid w:val="001A5EDE"/>
    <w:rsid w:val="00392556"/>
    <w:rsid w:val="00544DA0"/>
    <w:rsid w:val="005B2109"/>
    <w:rsid w:val="00885435"/>
    <w:rsid w:val="00936D47"/>
    <w:rsid w:val="009630B5"/>
    <w:rsid w:val="009877ED"/>
    <w:rsid w:val="00AA2DE2"/>
    <w:rsid w:val="00C020D5"/>
    <w:rsid w:val="00C05E99"/>
    <w:rsid w:val="00C831F2"/>
    <w:rsid w:val="00CA1554"/>
    <w:rsid w:val="05674F69"/>
    <w:rsid w:val="12C9646D"/>
    <w:rsid w:val="140557E3"/>
    <w:rsid w:val="1AB80749"/>
    <w:rsid w:val="1AD34579"/>
    <w:rsid w:val="2A5114CA"/>
    <w:rsid w:val="31776685"/>
    <w:rsid w:val="39A178CC"/>
    <w:rsid w:val="4B6006DE"/>
    <w:rsid w:val="55464EEB"/>
    <w:rsid w:val="5C09259C"/>
    <w:rsid w:val="5F5619DD"/>
    <w:rsid w:val="64507EB5"/>
    <w:rsid w:val="6461444C"/>
    <w:rsid w:val="6F6460C8"/>
    <w:rsid w:val="6FDE251B"/>
    <w:rsid w:val="72557E51"/>
    <w:rsid w:val="765A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30"/>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3"/>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31"/>
    <w:qFormat/>
    <w:uiPriority w:val="9"/>
    <w:pPr>
      <w:keepNext/>
      <w:keepLines/>
      <w:outlineLvl w:val="2"/>
    </w:pPr>
    <w:rPr>
      <w:b/>
      <w:bCs/>
      <w:szCs w:val="32"/>
    </w:rPr>
  </w:style>
  <w:style w:type="paragraph" w:styleId="5">
    <w:name w:val="heading 4"/>
    <w:basedOn w:val="1"/>
    <w:next w:val="1"/>
    <w:link w:val="34"/>
    <w:qFormat/>
    <w:uiPriority w:val="9"/>
    <w:pPr>
      <w:keepNext/>
      <w:keepLines/>
      <w:ind w:firstLine="0" w:firstLineChars="0"/>
      <w:jc w:val="center"/>
      <w:outlineLvl w:val="3"/>
    </w:pPr>
    <w:rPr>
      <w:rFonts w:ascii="Cambria" w:hAnsi="Cambria"/>
      <w:b/>
      <w:bCs/>
      <w:sz w:val="32"/>
      <w:szCs w:val="28"/>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6"/>
    <w:qFormat/>
    <w:uiPriority w:val="99"/>
    <w:pPr>
      <w:spacing w:line="240" w:lineRule="auto"/>
    </w:pPr>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6"/>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paragraph" w:styleId="21">
    <w:name w:val="Normal (Web)"/>
    <w:basedOn w:val="1"/>
    <w:qFormat/>
    <w:uiPriority w:val="99"/>
    <w:pPr>
      <w:widowControl/>
      <w:spacing w:before="100" w:beforeAutospacing="1" w:after="100" w:afterAutospacing="1"/>
      <w:jc w:val="left"/>
    </w:pPr>
    <w:rPr>
      <w:rFonts w:ascii="宋体" w:hAnsi="宋体"/>
      <w:kern w:val="0"/>
      <w:szCs w:val="20"/>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customStyle="1" w:styleId="26">
    <w:name w:val="正文文本缩进 3 字符"/>
    <w:basedOn w:val="23"/>
    <w:link w:val="17"/>
    <w:qFormat/>
    <w:uiPriority w:val="0"/>
    <w:rPr>
      <w:rFonts w:ascii="宋体" w:hAnsi="宋体" w:eastAsia="宋体" w:cs="Times New Roman"/>
      <w:sz w:val="24"/>
      <w:szCs w:val="28"/>
    </w:rPr>
  </w:style>
  <w:style w:type="character" w:customStyle="1" w:styleId="27">
    <w:name w:val="页眉 字符"/>
    <w:basedOn w:val="23"/>
    <w:link w:val="13"/>
    <w:qFormat/>
    <w:uiPriority w:val="99"/>
    <w:rPr>
      <w:sz w:val="18"/>
      <w:szCs w:val="18"/>
    </w:rPr>
  </w:style>
  <w:style w:type="character" w:customStyle="1" w:styleId="28">
    <w:name w:val="页脚 字符"/>
    <w:basedOn w:val="23"/>
    <w:link w:val="12"/>
    <w:qFormat/>
    <w:uiPriority w:val="99"/>
    <w:rPr>
      <w:sz w:val="18"/>
      <w:szCs w:val="18"/>
    </w:rPr>
  </w:style>
  <w:style w:type="paragraph" w:styleId="29">
    <w:name w:val="List Paragraph"/>
    <w:basedOn w:val="1"/>
    <w:qFormat/>
    <w:uiPriority w:val="34"/>
    <w:pPr>
      <w:ind w:firstLine="420"/>
    </w:pPr>
  </w:style>
  <w:style w:type="character" w:customStyle="1" w:styleId="30">
    <w:name w:val="标题 1 字符"/>
    <w:basedOn w:val="23"/>
    <w:link w:val="2"/>
    <w:qFormat/>
    <w:uiPriority w:val="9"/>
    <w:rPr>
      <w:rFonts w:ascii="Times New Roman" w:hAnsi="Times New Roman" w:eastAsia="宋体" w:cs="Times New Roman"/>
      <w:b/>
      <w:bCs/>
      <w:kern w:val="44"/>
      <w:sz w:val="44"/>
      <w:szCs w:val="44"/>
    </w:rPr>
  </w:style>
  <w:style w:type="character" w:customStyle="1" w:styleId="31">
    <w:name w:val="标题 3 字符"/>
    <w:basedOn w:val="23"/>
    <w:link w:val="4"/>
    <w:qFormat/>
    <w:uiPriority w:val="9"/>
    <w:rPr>
      <w:b/>
      <w:bCs/>
      <w:kern w:val="2"/>
      <w:sz w:val="24"/>
      <w:szCs w:val="32"/>
    </w:rPr>
  </w:style>
  <w:style w:type="character" w:customStyle="1" w:styleId="32">
    <w:name w:val="apple-converted-space"/>
    <w:basedOn w:val="23"/>
    <w:qFormat/>
    <w:uiPriority w:val="0"/>
  </w:style>
  <w:style w:type="character" w:customStyle="1" w:styleId="33">
    <w:name w:val="标题 2 字符"/>
    <w:basedOn w:val="23"/>
    <w:link w:val="3"/>
    <w:qFormat/>
    <w:uiPriority w:val="9"/>
    <w:rPr>
      <w:rFonts w:ascii="Cambria" w:hAnsi="Cambria" w:eastAsia="宋体" w:cs="宋体"/>
      <w:b/>
      <w:bCs/>
      <w:kern w:val="2"/>
      <w:sz w:val="28"/>
      <w:szCs w:val="32"/>
    </w:rPr>
  </w:style>
  <w:style w:type="character" w:customStyle="1" w:styleId="34">
    <w:name w:val="标题 4 字符"/>
    <w:basedOn w:val="23"/>
    <w:link w:val="5"/>
    <w:qFormat/>
    <w:uiPriority w:val="9"/>
    <w:rPr>
      <w:rFonts w:ascii="Cambria" w:hAnsi="Cambria" w:eastAsia="宋体" w:cs="宋体"/>
      <w:b/>
      <w:bCs/>
      <w:kern w:val="2"/>
      <w:sz w:val="32"/>
      <w:szCs w:val="28"/>
    </w:rPr>
  </w:style>
  <w:style w:type="paragraph" w:customStyle="1" w:styleId="35">
    <w:name w:val="TOC 标题1"/>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6">
    <w:name w:val="批注框文本 字符"/>
    <w:basedOn w:val="23"/>
    <w:link w:val="11"/>
    <w:qFormat/>
    <w:uiPriority w:val="99"/>
    <w:rPr>
      <w:kern w:val="2"/>
      <w:sz w:val="18"/>
      <w:szCs w:val="18"/>
    </w:rPr>
  </w:style>
  <w:style w:type="paragraph" w:customStyle="1" w:styleId="37">
    <w:name w:val="Revision"/>
    <w:hidden/>
    <w:semiHidden/>
    <w:uiPriority w:val="99"/>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2324</Words>
  <Characters>2495</Characters>
  <Lines>19</Lines>
  <Paragraphs>5</Paragraphs>
  <TotalTime>1</TotalTime>
  <ScaleCrop>false</ScaleCrop>
  <LinksUpToDate>false</LinksUpToDate>
  <CharactersWithSpaces>2649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2023-02-06T00:26:28Z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2052-11.1.0.13703</vt:lpwstr>
  </property>
  <property fmtid="{D5CDD505-2E9C-101B-9397-08002B2CF9AE}" pid="4" name="ICV">
    <vt:lpwstr>C6BCB62FF18E4968A5FECDEE7BCA8802</vt:lpwstr>
  </property>
</Properties>
</file>